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128FF82" w:rsidR="002C1220" w:rsidRPr="00996E13" w:rsidRDefault="005F10C3" w:rsidP="002C1220">
      <w:pPr>
        <w:pStyle w:val="Header"/>
        <w:tabs>
          <w:tab w:val="right" w:pos="9639"/>
        </w:tabs>
        <w:jc w:val="both"/>
        <w:rPr>
          <w:rFonts w:cs="Arial"/>
          <w:bCs/>
          <w:i/>
          <w:noProof w:val="0"/>
          <w:sz w:val="24"/>
          <w:szCs w:val="24"/>
        </w:rPr>
      </w:pPr>
      <w:bookmarkStart w:id="0" w:name="_Hlk519580081"/>
      <w:r w:rsidRPr="00996E13">
        <w:rPr>
          <w:rFonts w:cs="Arial"/>
          <w:bCs/>
          <w:noProof w:val="0"/>
          <w:sz w:val="24"/>
          <w:szCs w:val="24"/>
        </w:rPr>
        <w:t>3GPP TSG-RAN WG3 Meeting #1</w:t>
      </w:r>
      <w:r w:rsidR="006A213B" w:rsidRPr="00996E13">
        <w:rPr>
          <w:rFonts w:cs="Arial"/>
          <w:bCs/>
          <w:noProof w:val="0"/>
          <w:sz w:val="24"/>
          <w:szCs w:val="24"/>
        </w:rPr>
        <w:t>1</w:t>
      </w:r>
      <w:r w:rsidR="00256CDD" w:rsidRPr="00996E13">
        <w:rPr>
          <w:rFonts w:cs="Arial"/>
          <w:bCs/>
          <w:noProof w:val="0"/>
          <w:sz w:val="24"/>
          <w:szCs w:val="24"/>
        </w:rPr>
        <w:t>1</w:t>
      </w:r>
      <w:r w:rsidR="00044AC7" w:rsidRPr="00996E13">
        <w:rPr>
          <w:rFonts w:cs="Arial"/>
          <w:bCs/>
          <w:noProof w:val="0"/>
          <w:sz w:val="24"/>
          <w:szCs w:val="24"/>
        </w:rPr>
        <w:t>-e</w:t>
      </w:r>
      <w:r w:rsidR="002C1220" w:rsidRPr="00996E13">
        <w:rPr>
          <w:rFonts w:cs="Arial"/>
          <w:bCs/>
          <w:noProof w:val="0"/>
          <w:sz w:val="24"/>
          <w:szCs w:val="24"/>
        </w:rPr>
        <w:tab/>
        <w:t>R3-</w:t>
      </w:r>
      <w:r w:rsidR="00FA4A45" w:rsidRPr="00996E13">
        <w:rPr>
          <w:rFonts w:cs="Arial"/>
          <w:bCs/>
          <w:noProof w:val="0"/>
          <w:sz w:val="24"/>
          <w:szCs w:val="24"/>
        </w:rPr>
        <w:t>2</w:t>
      </w:r>
      <w:r w:rsidR="00256CDD" w:rsidRPr="00996E13">
        <w:rPr>
          <w:rFonts w:cs="Arial"/>
          <w:bCs/>
          <w:noProof w:val="0"/>
          <w:sz w:val="24"/>
          <w:szCs w:val="24"/>
        </w:rPr>
        <w:t>1</w:t>
      </w:r>
      <w:r w:rsidR="0078220A">
        <w:rPr>
          <w:rFonts w:cs="Arial"/>
          <w:bCs/>
          <w:noProof w:val="0"/>
          <w:sz w:val="24"/>
          <w:szCs w:val="24"/>
        </w:rPr>
        <w:t>0085</w:t>
      </w:r>
    </w:p>
    <w:bookmarkEnd w:id="0"/>
    <w:p w14:paraId="5669B020" w14:textId="46E6CEAA" w:rsidR="004C654E" w:rsidRPr="00996E13" w:rsidRDefault="00044AC7" w:rsidP="004C654E">
      <w:pPr>
        <w:pStyle w:val="Header"/>
        <w:tabs>
          <w:tab w:val="left" w:pos="2410"/>
        </w:tabs>
        <w:rPr>
          <w:rFonts w:eastAsia="MS Mincho" w:cs="Arial"/>
          <w:sz w:val="24"/>
          <w:szCs w:val="24"/>
        </w:rPr>
      </w:pPr>
      <w:r w:rsidRPr="00996E13">
        <w:rPr>
          <w:rFonts w:eastAsia="MS Mincho" w:cs="Arial"/>
          <w:sz w:val="24"/>
          <w:szCs w:val="24"/>
        </w:rPr>
        <w:t>E-meeting</w:t>
      </w:r>
      <w:r w:rsidR="00FC5FE8" w:rsidRPr="00996E13">
        <w:rPr>
          <w:rFonts w:eastAsia="MS Mincho" w:cs="Arial"/>
          <w:sz w:val="24"/>
          <w:szCs w:val="24"/>
        </w:rPr>
        <w:t xml:space="preserve">, </w:t>
      </w:r>
      <w:r w:rsidR="006A213B" w:rsidRPr="00996E13">
        <w:rPr>
          <w:rFonts w:eastAsia="MS Mincho" w:cs="Arial"/>
          <w:sz w:val="24"/>
          <w:szCs w:val="24"/>
        </w:rPr>
        <w:t>2</w:t>
      </w:r>
      <w:r w:rsidR="00256CDD" w:rsidRPr="00996E13">
        <w:rPr>
          <w:rFonts w:eastAsia="MS Mincho" w:cs="Arial"/>
          <w:sz w:val="24"/>
          <w:szCs w:val="24"/>
        </w:rPr>
        <w:t>5 Jan – 5 Feb</w:t>
      </w:r>
      <w:r w:rsidR="005F10C3" w:rsidRPr="00996E13">
        <w:rPr>
          <w:rFonts w:eastAsia="MS Mincho" w:cs="Arial"/>
          <w:sz w:val="24"/>
          <w:szCs w:val="24"/>
        </w:rPr>
        <w:t xml:space="preserve"> 20</w:t>
      </w:r>
      <w:r w:rsidR="00FA4A45" w:rsidRPr="00996E13">
        <w:rPr>
          <w:rFonts w:eastAsia="MS Mincho" w:cs="Arial"/>
          <w:sz w:val="24"/>
          <w:szCs w:val="24"/>
        </w:rPr>
        <w:t>2</w:t>
      </w:r>
      <w:r w:rsidR="00256CDD" w:rsidRPr="00996E13">
        <w:rPr>
          <w:rFonts w:eastAsia="MS Mincho" w:cs="Arial"/>
          <w:sz w:val="24"/>
          <w:szCs w:val="24"/>
        </w:rPr>
        <w:t>1</w:t>
      </w:r>
    </w:p>
    <w:p w14:paraId="2F96B0BD" w14:textId="77777777" w:rsidR="002F2360" w:rsidRPr="00996E13" w:rsidRDefault="002F2360" w:rsidP="002F2360">
      <w:pPr>
        <w:pStyle w:val="Header"/>
        <w:tabs>
          <w:tab w:val="left" w:pos="2410"/>
        </w:tabs>
        <w:rPr>
          <w:bCs/>
          <w:noProof w:val="0"/>
          <w:sz w:val="24"/>
        </w:rPr>
      </w:pPr>
    </w:p>
    <w:p w14:paraId="430718D4" w14:textId="79B914C5" w:rsidR="002F2360" w:rsidRPr="00996E13" w:rsidRDefault="002F2360" w:rsidP="002F2360">
      <w:pPr>
        <w:pStyle w:val="CRCoverPage"/>
        <w:tabs>
          <w:tab w:val="left" w:pos="1985"/>
          <w:tab w:val="left" w:pos="2410"/>
        </w:tabs>
        <w:rPr>
          <w:rFonts w:cs="Arial"/>
          <w:b/>
          <w:bCs/>
          <w:sz w:val="24"/>
          <w:lang w:eastAsia="ja-JP"/>
        </w:rPr>
      </w:pPr>
      <w:r w:rsidRPr="00996E13">
        <w:rPr>
          <w:rFonts w:cs="Arial"/>
          <w:b/>
          <w:bCs/>
          <w:sz w:val="24"/>
        </w:rPr>
        <w:t>Agenda item:</w:t>
      </w:r>
      <w:r w:rsidRPr="00996E13">
        <w:rPr>
          <w:rFonts w:cs="Arial"/>
          <w:b/>
          <w:bCs/>
          <w:sz w:val="24"/>
        </w:rPr>
        <w:tab/>
      </w:r>
      <w:r w:rsidR="0078220A">
        <w:rPr>
          <w:rFonts w:cs="Arial"/>
          <w:b/>
          <w:bCs/>
          <w:sz w:val="24"/>
        </w:rPr>
        <w:t>14.2</w:t>
      </w:r>
    </w:p>
    <w:p w14:paraId="02505283" w14:textId="77777777" w:rsidR="002F2360" w:rsidRPr="00996E13" w:rsidRDefault="002F2360" w:rsidP="002F2360">
      <w:pPr>
        <w:tabs>
          <w:tab w:val="left" w:pos="1985"/>
          <w:tab w:val="left" w:pos="2410"/>
        </w:tabs>
        <w:ind w:left="1985" w:hanging="1985"/>
        <w:rPr>
          <w:rFonts w:ascii="Arial" w:hAnsi="Arial" w:cs="Arial"/>
          <w:b/>
          <w:bCs/>
          <w:sz w:val="24"/>
        </w:rPr>
      </w:pPr>
      <w:r w:rsidRPr="00996E13">
        <w:rPr>
          <w:rFonts w:ascii="Arial" w:hAnsi="Arial" w:cs="Arial"/>
          <w:b/>
          <w:bCs/>
          <w:sz w:val="24"/>
        </w:rPr>
        <w:t>Source:</w:t>
      </w:r>
      <w:r w:rsidRPr="00996E13">
        <w:rPr>
          <w:rFonts w:ascii="Arial" w:hAnsi="Arial" w:cs="Arial"/>
          <w:b/>
          <w:bCs/>
          <w:sz w:val="24"/>
        </w:rPr>
        <w:tab/>
        <w:t xml:space="preserve">Nokia, </w:t>
      </w:r>
      <w:r w:rsidRPr="00996E13">
        <w:rPr>
          <w:rFonts w:ascii="Arial" w:hAnsi="Arial" w:cs="Arial"/>
          <w:b/>
          <w:bCs/>
          <w:sz w:val="24"/>
          <w:lang w:eastAsia="ja-JP"/>
        </w:rPr>
        <w:t xml:space="preserve">Nokia </w:t>
      </w:r>
      <w:r w:rsidRPr="00996E13">
        <w:rPr>
          <w:rFonts w:ascii="Arial" w:hAnsi="Arial" w:cs="Arial"/>
          <w:b/>
          <w:bCs/>
          <w:sz w:val="24"/>
        </w:rPr>
        <w:t>Shanghai Bell</w:t>
      </w:r>
    </w:p>
    <w:p w14:paraId="5E7A28BB" w14:textId="18297958" w:rsidR="00CD4C7B" w:rsidRPr="00996E13" w:rsidRDefault="00CD4C7B" w:rsidP="00EE13A8">
      <w:pPr>
        <w:tabs>
          <w:tab w:val="left" w:pos="2410"/>
        </w:tabs>
        <w:ind w:left="1985" w:hanging="1985"/>
        <w:rPr>
          <w:rFonts w:ascii="Arial" w:hAnsi="Arial" w:cs="Arial"/>
          <w:b/>
          <w:bCs/>
          <w:sz w:val="24"/>
        </w:rPr>
      </w:pPr>
      <w:r w:rsidRPr="00996E13">
        <w:rPr>
          <w:rFonts w:ascii="Arial" w:hAnsi="Arial" w:cs="Arial"/>
          <w:b/>
          <w:bCs/>
          <w:sz w:val="24"/>
        </w:rPr>
        <w:t>Title:</w:t>
      </w:r>
      <w:r w:rsidRPr="00996E13">
        <w:rPr>
          <w:rFonts w:ascii="Arial" w:hAnsi="Arial" w:cs="Arial"/>
          <w:b/>
          <w:bCs/>
          <w:sz w:val="24"/>
        </w:rPr>
        <w:tab/>
      </w:r>
      <w:r w:rsidR="00153DC6">
        <w:rPr>
          <w:rFonts w:ascii="Arial" w:hAnsi="Arial" w:cs="Arial"/>
          <w:b/>
          <w:bCs/>
          <w:sz w:val="24"/>
        </w:rPr>
        <w:t>Principles for activation and deactivation of SCG resources</w:t>
      </w:r>
    </w:p>
    <w:p w14:paraId="0F79702C" w14:textId="0AE6489D" w:rsidR="00CD4C7B" w:rsidRPr="00996E13" w:rsidRDefault="00CD4C7B" w:rsidP="00EE13A8">
      <w:pPr>
        <w:tabs>
          <w:tab w:val="left" w:pos="1985"/>
          <w:tab w:val="left" w:pos="2410"/>
        </w:tabs>
        <w:rPr>
          <w:rFonts w:ascii="Arial" w:hAnsi="Arial" w:cs="Arial"/>
          <w:b/>
          <w:bCs/>
          <w:sz w:val="24"/>
        </w:rPr>
      </w:pPr>
      <w:r w:rsidRPr="00996E13">
        <w:rPr>
          <w:rFonts w:ascii="Arial" w:hAnsi="Arial" w:cs="Arial"/>
          <w:b/>
          <w:bCs/>
          <w:sz w:val="24"/>
        </w:rPr>
        <w:t>Document for:</w:t>
      </w:r>
      <w:r w:rsidRPr="00996E13">
        <w:rPr>
          <w:rFonts w:ascii="Arial" w:hAnsi="Arial" w:cs="Arial"/>
          <w:b/>
          <w:bCs/>
          <w:sz w:val="24"/>
        </w:rPr>
        <w:tab/>
        <w:t>Discussion</w:t>
      </w:r>
    </w:p>
    <w:p w14:paraId="3F7C60B7" w14:textId="77777777" w:rsidR="00AB30AE" w:rsidRPr="00996E13" w:rsidRDefault="00AB30AE" w:rsidP="00EE13A8">
      <w:pPr>
        <w:tabs>
          <w:tab w:val="left" w:pos="1985"/>
          <w:tab w:val="left" w:pos="2410"/>
        </w:tabs>
        <w:rPr>
          <w:rFonts w:ascii="Arial" w:hAnsi="Arial" w:cs="Arial"/>
          <w:bCs/>
          <w:sz w:val="24"/>
        </w:rPr>
      </w:pPr>
    </w:p>
    <w:p w14:paraId="40D0F11F" w14:textId="3CF2C848" w:rsidR="00CD4C7B" w:rsidRPr="00996E13" w:rsidRDefault="00CD4C7B" w:rsidP="00EE13A8">
      <w:pPr>
        <w:pStyle w:val="Heading1"/>
        <w:tabs>
          <w:tab w:val="left" w:pos="2410"/>
        </w:tabs>
      </w:pPr>
      <w:r w:rsidRPr="00996E13">
        <w:t>1</w:t>
      </w:r>
      <w:r w:rsidRPr="00996E13">
        <w:tab/>
      </w:r>
      <w:r w:rsidR="0056573F" w:rsidRPr="00996E13">
        <w:t>Introduction</w:t>
      </w:r>
    </w:p>
    <w:p w14:paraId="4CAD8B08" w14:textId="28699BA1" w:rsidR="005E3D0F" w:rsidRPr="00996E13" w:rsidRDefault="00F04D2F" w:rsidP="008572DC">
      <w:bookmarkStart w:id="1" w:name="_Toc474247438"/>
      <w:r w:rsidRPr="00996E13">
        <w:t>At RAN3 #110, the work on the further enhancements for DC and CA was started. Concerning the efficient activation/deactivation for one SCG, following agreements were made:</w:t>
      </w:r>
    </w:p>
    <w:p w14:paraId="303DA2FE" w14:textId="77777777" w:rsidR="004A04AF" w:rsidRPr="00996E13" w:rsidRDefault="004A04AF" w:rsidP="004A04AF">
      <w:pPr>
        <w:pStyle w:val="ListParagraph"/>
        <w:numPr>
          <w:ilvl w:val="0"/>
          <w:numId w:val="38"/>
        </w:numPr>
        <w:rPr>
          <w:lang w:val="en-GB"/>
        </w:rPr>
      </w:pPr>
      <w:r w:rsidRPr="00996E13">
        <w:rPr>
          <w:lang w:val="en-GB"/>
        </w:rPr>
        <w:t>MN can initiate SCG (de)activation during SN addition procedure, SN can decide whether to accept or reject SCG (de)activation request after receiving SN addition request message, FFS on how to reject it.</w:t>
      </w:r>
    </w:p>
    <w:p w14:paraId="76842E5A" w14:textId="067DE126" w:rsidR="00F04D2F" w:rsidRPr="00996E13" w:rsidRDefault="00BB27DB" w:rsidP="00BB27DB">
      <w:pPr>
        <w:pStyle w:val="ListParagraph"/>
        <w:numPr>
          <w:ilvl w:val="0"/>
          <w:numId w:val="38"/>
        </w:numPr>
        <w:rPr>
          <w:lang w:val="en-GB"/>
        </w:rPr>
      </w:pPr>
      <w:r w:rsidRPr="00996E13">
        <w:rPr>
          <w:lang w:val="en-GB"/>
        </w:rPr>
        <w:t>MN initiated SN modification procedure can be used for support of SCG (de)activation, and SN can decide whether to accept or reject SCG (de)activation request after receiving SN modification request message.</w:t>
      </w:r>
    </w:p>
    <w:p w14:paraId="26331C23" w14:textId="45A5DAA1" w:rsidR="00BB27DB" w:rsidRPr="00996E13" w:rsidRDefault="00BB27DB" w:rsidP="00BB27DB">
      <w:pPr>
        <w:pStyle w:val="ListParagraph"/>
        <w:numPr>
          <w:ilvl w:val="0"/>
          <w:numId w:val="38"/>
        </w:numPr>
        <w:rPr>
          <w:lang w:val="en-GB"/>
        </w:rPr>
      </w:pPr>
      <w:r w:rsidRPr="00996E13">
        <w:rPr>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7CFCFE51" w14:textId="4B15FE07" w:rsidR="00F20E37" w:rsidRPr="00996E13" w:rsidRDefault="00F20E37" w:rsidP="008572DC">
      <w:r w:rsidRPr="00996E13">
        <w:t>At the last RAN2 meeting, as it seems, no conclusions that would affect RAN3 were made.</w:t>
      </w:r>
    </w:p>
    <w:p w14:paraId="547C3B56" w14:textId="1331EA7A" w:rsidR="00F04D2F" w:rsidRPr="00996E13" w:rsidRDefault="00F04D2F" w:rsidP="008572DC">
      <w:r w:rsidRPr="00996E13">
        <w:t>In this paper, we analyse the problem once again, and propose a solution that is built on the above agreements.</w:t>
      </w:r>
    </w:p>
    <w:p w14:paraId="309917E7" w14:textId="77777777" w:rsidR="00051152" w:rsidRPr="00996E13" w:rsidRDefault="00BE5235" w:rsidP="00051152">
      <w:pPr>
        <w:pStyle w:val="Heading1"/>
        <w:tabs>
          <w:tab w:val="left" w:pos="2410"/>
        </w:tabs>
      </w:pPr>
      <w:r w:rsidRPr="00996E13">
        <w:t>2</w:t>
      </w:r>
      <w:r w:rsidR="00051152" w:rsidRPr="00996E13">
        <w:tab/>
      </w:r>
      <w:r w:rsidRPr="00996E13">
        <w:t>Discussion</w:t>
      </w:r>
    </w:p>
    <w:bookmarkEnd w:id="1"/>
    <w:p w14:paraId="1ABCA206" w14:textId="25C8FCFC" w:rsidR="000E736C" w:rsidRDefault="000E736C" w:rsidP="00AA4AF2">
      <w:r w:rsidRPr="00996E13">
        <w:t xml:space="preserve">At RAN3 #110, a discussion started on the principles concerning the activation and deactivation of the SCG resources – but was not completed. </w:t>
      </w:r>
      <w:r w:rsidR="002C776C">
        <w:t xml:space="preserve">At the same time, RAN2 started the discussion. Since RAN2 is the owner of the WI, the general guidance shall be set up there. In particular, the split of responsibility between the MN and the SN shall be agreed in RAN2. </w:t>
      </w:r>
    </w:p>
    <w:p w14:paraId="63B9D98F" w14:textId="77777777" w:rsidR="001C45C7" w:rsidRDefault="002C776C" w:rsidP="00AA4AF2">
      <w:pPr>
        <w:rPr>
          <w:b/>
          <w:bCs/>
        </w:rPr>
      </w:pPr>
      <w:r w:rsidRPr="002C776C">
        <w:rPr>
          <w:b/>
          <w:bCs/>
        </w:rPr>
        <w:t xml:space="preserve">Observation 1: The decision regarding the responsibility of each of the involved nodes (MN and SN) is up to RAN2. </w:t>
      </w:r>
    </w:p>
    <w:p w14:paraId="55290CF7" w14:textId="77777777" w:rsidR="00C13271" w:rsidRPr="00996E13" w:rsidRDefault="00C13271" w:rsidP="00C13271">
      <w:pPr>
        <w:pStyle w:val="Heading2"/>
      </w:pPr>
      <w:r w:rsidRPr="00996E13">
        <w:t>2.1</w:t>
      </w:r>
      <w:r w:rsidRPr="00996E13">
        <w:tab/>
        <w:t>Requesting activation and deactivation</w:t>
      </w:r>
    </w:p>
    <w:p w14:paraId="2A9E0CD7" w14:textId="1C5ABEC5" w:rsidR="002C776C" w:rsidRDefault="002C776C" w:rsidP="00AA4AF2">
      <w:r w:rsidRPr="001C45C7">
        <w:t>Some companies there propose that, depending on the situation, either node may initiate the SCG (de)activation. In the remaining part of the document we assume this will be the way forward.</w:t>
      </w:r>
      <w:r w:rsidR="001C45C7">
        <w:t xml:space="preserve"> This seems natural, considering that the main trigger for deactivation is data inactivity – and this may be detected either at the MN or the SN, depending on the bearer configuration.</w:t>
      </w:r>
    </w:p>
    <w:p w14:paraId="60555897" w14:textId="41D69409" w:rsidR="001C45C7" w:rsidRPr="001C45C7" w:rsidRDefault="001C45C7" w:rsidP="00AA4AF2">
      <w:pPr>
        <w:rPr>
          <w:b/>
          <w:bCs/>
        </w:rPr>
      </w:pPr>
      <w:r w:rsidRPr="001C45C7">
        <w:rPr>
          <w:b/>
          <w:bCs/>
        </w:rPr>
        <w:t>Observation 2: In this paper, we assume either of the involved nodes may initiate SCG (de)activation.</w:t>
      </w:r>
    </w:p>
    <w:p w14:paraId="31A1F87E" w14:textId="58938B6D" w:rsidR="008A6CF4" w:rsidRPr="00996E13" w:rsidRDefault="008A6CF4" w:rsidP="008A6CF4">
      <w:pPr>
        <w:pStyle w:val="Heading2"/>
      </w:pPr>
      <w:r w:rsidRPr="00996E13">
        <w:t>2.2</w:t>
      </w:r>
      <w:r w:rsidRPr="00996E13">
        <w:tab/>
        <w:t>Possible rejection of the request</w:t>
      </w:r>
    </w:p>
    <w:p w14:paraId="47B12967" w14:textId="4136B6D7" w:rsidR="0030619D" w:rsidRDefault="0030619D" w:rsidP="00AA4AF2">
      <w:pPr>
        <w:rPr>
          <w:bCs/>
        </w:rPr>
      </w:pPr>
      <w:r>
        <w:rPr>
          <w:bCs/>
        </w:rPr>
        <w:t xml:space="preserve">For activation, it may be assumed that the requesting node has some data to be exchanged, which may not be known to the peer node. Therefore, activation request shall not be rejected. There may be an exception related to the SCG status – it may not be possible to be activated, if resources </w:t>
      </w:r>
      <w:proofErr w:type="gramStart"/>
      <w:r>
        <w:rPr>
          <w:bCs/>
        </w:rPr>
        <w:t>has</w:t>
      </w:r>
      <w:proofErr w:type="gramEnd"/>
      <w:r>
        <w:rPr>
          <w:bCs/>
        </w:rPr>
        <w:t xml:space="preserve"> been reallocated. Therefore, activation request from the SN side shall not be rejected, while the SN shall have the option to reject it – even if used seldom.</w:t>
      </w:r>
    </w:p>
    <w:p w14:paraId="0D7787F1" w14:textId="10DD7CD4" w:rsidR="0030619D" w:rsidRPr="0030619D" w:rsidRDefault="0030619D" w:rsidP="00AA4AF2">
      <w:pPr>
        <w:rPr>
          <w:b/>
        </w:rPr>
      </w:pPr>
      <w:r w:rsidRPr="0030619D">
        <w:rPr>
          <w:b/>
        </w:rPr>
        <w:lastRenderedPageBreak/>
        <w:t xml:space="preserve">Observation </w:t>
      </w:r>
      <w:r w:rsidR="0078220A">
        <w:rPr>
          <w:b/>
        </w:rPr>
        <w:t>3</w:t>
      </w:r>
      <w:r w:rsidRPr="0030619D">
        <w:rPr>
          <w:b/>
        </w:rPr>
        <w:t xml:space="preserve">: The MN does not need to reject an activation request received from the SN; the SN shall have </w:t>
      </w:r>
      <w:r w:rsidR="00DC4BB0">
        <w:rPr>
          <w:b/>
        </w:rPr>
        <w:t>the</w:t>
      </w:r>
      <w:r w:rsidRPr="0030619D">
        <w:rPr>
          <w:b/>
        </w:rPr>
        <w:t xml:space="preserve"> option</w:t>
      </w:r>
      <w:r w:rsidR="00DC4BB0">
        <w:rPr>
          <w:b/>
        </w:rPr>
        <w:t xml:space="preserve"> to reject activation request from the MN</w:t>
      </w:r>
      <w:r w:rsidRPr="0030619D">
        <w:rPr>
          <w:b/>
        </w:rPr>
        <w:t>.</w:t>
      </w:r>
    </w:p>
    <w:p w14:paraId="7E821010" w14:textId="601DEF25" w:rsidR="0030619D" w:rsidRDefault="00FA61B4" w:rsidP="00AA4AF2">
      <w:pPr>
        <w:rPr>
          <w:bCs/>
        </w:rPr>
      </w:pPr>
      <w:r w:rsidRPr="00996E13">
        <w:rPr>
          <w:bCs/>
        </w:rPr>
        <w:t xml:space="preserve">For </w:t>
      </w:r>
      <w:r w:rsidR="001C45C7">
        <w:rPr>
          <w:bCs/>
        </w:rPr>
        <w:t xml:space="preserve">deactivation, if it is </w:t>
      </w:r>
      <w:r w:rsidR="0030619D">
        <w:rPr>
          <w:bCs/>
        </w:rPr>
        <w:t>requested</w:t>
      </w:r>
      <w:r w:rsidR="001C45C7">
        <w:rPr>
          <w:bCs/>
        </w:rPr>
        <w:t xml:space="preserve"> by the hosting node, it is </w:t>
      </w:r>
      <w:proofErr w:type="gramStart"/>
      <w:r w:rsidR="001C45C7">
        <w:rPr>
          <w:bCs/>
        </w:rPr>
        <w:t>fairly sure</w:t>
      </w:r>
      <w:proofErr w:type="gramEnd"/>
      <w:r w:rsidR="001C45C7">
        <w:rPr>
          <w:bCs/>
        </w:rPr>
        <w:t xml:space="preserve"> that the assisting node </w:t>
      </w:r>
      <w:r w:rsidR="0030619D">
        <w:rPr>
          <w:bCs/>
        </w:rPr>
        <w:t xml:space="preserve">does </w:t>
      </w:r>
      <w:r w:rsidR="001C45C7">
        <w:rPr>
          <w:bCs/>
        </w:rPr>
        <w:t xml:space="preserve">not </w:t>
      </w:r>
      <w:r w:rsidR="0030619D">
        <w:rPr>
          <w:bCs/>
        </w:rPr>
        <w:t xml:space="preserve">need to have the option to </w:t>
      </w:r>
      <w:r w:rsidR="001C45C7">
        <w:rPr>
          <w:bCs/>
        </w:rPr>
        <w:t xml:space="preserve">reject the request. However, if the </w:t>
      </w:r>
      <w:r w:rsidR="0030619D">
        <w:rPr>
          <w:bCs/>
        </w:rPr>
        <w:t>assisting node detects inactivity sooner, it may request deactivation, too. It is also possible that both nodes control PDCP for different bearers. Therefore</w:t>
      </w:r>
      <w:r w:rsidR="007B6D34">
        <w:rPr>
          <w:bCs/>
        </w:rPr>
        <w:t xml:space="preserve">, an option to reject deactivation request may be needed. </w:t>
      </w:r>
    </w:p>
    <w:p w14:paraId="0BCCB3C8" w14:textId="59AC5167" w:rsidR="007B6D34" w:rsidRPr="00996E13" w:rsidRDefault="009E4BC8" w:rsidP="007B6D34">
      <w:pPr>
        <w:rPr>
          <w:b/>
        </w:rPr>
      </w:pPr>
      <w:r w:rsidRPr="00996E13">
        <w:rPr>
          <w:b/>
        </w:rPr>
        <w:t xml:space="preserve">Observation </w:t>
      </w:r>
      <w:r w:rsidR="0078220A">
        <w:rPr>
          <w:b/>
        </w:rPr>
        <w:t>4</w:t>
      </w:r>
      <w:r w:rsidRPr="00996E13">
        <w:rPr>
          <w:b/>
        </w:rPr>
        <w:t xml:space="preserve">: </w:t>
      </w:r>
      <w:r w:rsidR="007B6D34">
        <w:rPr>
          <w:b/>
        </w:rPr>
        <w:t xml:space="preserve">It shall be possible to </w:t>
      </w:r>
      <w:r w:rsidR="00D7737E">
        <w:rPr>
          <w:b/>
        </w:rPr>
        <w:t>reject</w:t>
      </w:r>
      <w:r w:rsidR="007B6D34">
        <w:rPr>
          <w:b/>
        </w:rPr>
        <w:t xml:space="preserve"> deactivation of the </w:t>
      </w:r>
      <w:r w:rsidR="00DC4BB0">
        <w:rPr>
          <w:b/>
        </w:rPr>
        <w:t>S</w:t>
      </w:r>
      <w:r w:rsidR="00424CF0">
        <w:rPr>
          <w:b/>
        </w:rPr>
        <w:t>CG</w:t>
      </w:r>
      <w:r w:rsidR="007B6D34">
        <w:rPr>
          <w:b/>
        </w:rPr>
        <w:t xml:space="preserve">, if </w:t>
      </w:r>
      <w:r w:rsidR="00D7737E">
        <w:rPr>
          <w:b/>
        </w:rPr>
        <w:t>the node initiating the deactivation s</w:t>
      </w:r>
      <w:r w:rsidR="007B6D34">
        <w:rPr>
          <w:b/>
        </w:rPr>
        <w:t>erves as the assisting node.</w:t>
      </w:r>
    </w:p>
    <w:p w14:paraId="7867D58F" w14:textId="1666FB33" w:rsidR="00A06A5A" w:rsidRPr="00996E13" w:rsidRDefault="00A06A5A" w:rsidP="00A06A5A">
      <w:pPr>
        <w:pStyle w:val="Heading2"/>
      </w:pPr>
      <w:r w:rsidRPr="00996E13">
        <w:t>2.3</w:t>
      </w:r>
      <w:r w:rsidRPr="00996E13">
        <w:tab/>
        <w:t>Handling of the addition</w:t>
      </w:r>
    </w:p>
    <w:p w14:paraId="1917A6F9" w14:textId="7A4BEB5B" w:rsidR="00996E13" w:rsidRPr="00996E13" w:rsidRDefault="00996E13" w:rsidP="00AA4AF2">
      <w:pPr>
        <w:rPr>
          <w:bCs/>
        </w:rPr>
      </w:pPr>
      <w:r w:rsidRPr="00996E13">
        <w:rPr>
          <w:bCs/>
        </w:rPr>
        <w:t xml:space="preserve">In the existing mode of operation, the addition of SCG resources (in DC operation) always results in their activation. Therefore, activation at the addition is default and the question </w:t>
      </w:r>
      <w:proofErr w:type="gramStart"/>
      <w:r w:rsidRPr="00996E13">
        <w:rPr>
          <w:bCs/>
        </w:rPr>
        <w:t>is</w:t>
      </w:r>
      <w:proofErr w:type="gramEnd"/>
      <w:r w:rsidRPr="00996E13">
        <w:rPr>
          <w:bCs/>
        </w:rPr>
        <w:t xml:space="preserve"> rather: shall it be possible to add SCG resources deactivated? At the past meeting, RAN3 assumed this shall be possible and we are all right to observe the agreement.</w:t>
      </w:r>
    </w:p>
    <w:p w14:paraId="4D90E8A3" w14:textId="37CA2273" w:rsidR="00996E13" w:rsidRPr="00996E13" w:rsidRDefault="00996E13" w:rsidP="00AA4AF2">
      <w:pPr>
        <w:rPr>
          <w:b/>
        </w:rPr>
      </w:pPr>
      <w:r w:rsidRPr="00996E13">
        <w:rPr>
          <w:b/>
        </w:rPr>
        <w:t xml:space="preserve">Observation </w:t>
      </w:r>
      <w:r w:rsidR="0078220A">
        <w:rPr>
          <w:b/>
        </w:rPr>
        <w:t>5</w:t>
      </w:r>
      <w:r w:rsidRPr="00996E13">
        <w:rPr>
          <w:b/>
        </w:rPr>
        <w:t>: SCG activation at the addition is the legacy behaviour of the Addition. SCG deactivation at the addition has already agreed.</w:t>
      </w:r>
    </w:p>
    <w:p w14:paraId="1A2C150C" w14:textId="6896DEED" w:rsidR="00996E13" w:rsidRDefault="00996E13" w:rsidP="00AA4AF2">
      <w:pPr>
        <w:rPr>
          <w:bCs/>
        </w:rPr>
      </w:pPr>
      <w:r>
        <w:rPr>
          <w:bCs/>
        </w:rPr>
        <w:t>In the above chapter, we explained that the SN shall be allowed to reject MN-initiated deactivation.</w:t>
      </w:r>
      <w:r w:rsidR="00A63E43">
        <w:rPr>
          <w:bCs/>
        </w:rPr>
        <w:t xml:space="preserve"> There is no reason why this would not apply to the addition. On the other hand, considering that the deactivation is a separate feature, the SN may decide to admit the addition, but with SCG resources that can’t be deactivated.</w:t>
      </w:r>
    </w:p>
    <w:p w14:paraId="7EF32115" w14:textId="514705DB" w:rsidR="00A63E43" w:rsidRPr="00A63E43" w:rsidRDefault="00A63E43" w:rsidP="00AA4AF2">
      <w:pPr>
        <w:rPr>
          <w:b/>
        </w:rPr>
      </w:pPr>
      <w:r w:rsidRPr="00A63E43">
        <w:rPr>
          <w:b/>
        </w:rPr>
        <w:t xml:space="preserve">Observation </w:t>
      </w:r>
      <w:r w:rsidR="0078220A">
        <w:rPr>
          <w:b/>
        </w:rPr>
        <w:t>6</w:t>
      </w:r>
      <w:r w:rsidRPr="00A63E43">
        <w:rPr>
          <w:b/>
        </w:rPr>
        <w:t>: Possible rejection of the deactivation at the addition should be independent from the admission of the addition itself.</w:t>
      </w:r>
    </w:p>
    <w:p w14:paraId="28E42E52" w14:textId="77777777" w:rsidR="000F16C4" w:rsidRPr="00996E13" w:rsidRDefault="00CD2620" w:rsidP="00E00CEF">
      <w:pPr>
        <w:pStyle w:val="Heading1"/>
      </w:pPr>
      <w:r w:rsidRPr="00996E13">
        <w:t>3</w:t>
      </w:r>
      <w:r w:rsidR="000F16C4" w:rsidRPr="00996E13">
        <w:tab/>
      </w:r>
      <w:r w:rsidRPr="00996E13">
        <w:t>Conclusions</w:t>
      </w:r>
    </w:p>
    <w:p w14:paraId="14D0A2B2" w14:textId="77777777" w:rsidR="0078220A" w:rsidRDefault="00E07BC2" w:rsidP="006A43F7">
      <w:pPr>
        <w:jc w:val="both"/>
        <w:rPr>
          <w:bCs/>
        </w:rPr>
      </w:pPr>
      <w:r>
        <w:rPr>
          <w:bCs/>
        </w:rPr>
        <w:t>In this paper, we presented a list of observations concerning handling of the activation and deactivation of the SCG resources</w:t>
      </w:r>
      <w:r w:rsidR="0078220A">
        <w:rPr>
          <w:bCs/>
        </w:rPr>
        <w:t>:</w:t>
      </w:r>
    </w:p>
    <w:p w14:paraId="4DD0DCEA" w14:textId="3CD727E7" w:rsidR="0078220A" w:rsidRPr="0078220A" w:rsidRDefault="0078220A" w:rsidP="0078220A">
      <w:pPr>
        <w:pStyle w:val="ListParagraph"/>
        <w:numPr>
          <w:ilvl w:val="0"/>
          <w:numId w:val="40"/>
        </w:numPr>
      </w:pPr>
      <w:r w:rsidRPr="0078220A">
        <w:t>The d</w:t>
      </w:r>
      <w:bookmarkStart w:id="2" w:name="_GoBack"/>
      <w:bookmarkEnd w:id="2"/>
      <w:r w:rsidRPr="0078220A">
        <w:t xml:space="preserve">ecision regarding the responsibility of each of the involved nodes (MN and SN) is up to RAN2. </w:t>
      </w:r>
    </w:p>
    <w:p w14:paraId="60B7DCFD" w14:textId="25229679" w:rsidR="0078220A" w:rsidRPr="0078220A" w:rsidRDefault="0078220A" w:rsidP="0078220A">
      <w:pPr>
        <w:pStyle w:val="ListParagraph"/>
        <w:numPr>
          <w:ilvl w:val="0"/>
          <w:numId w:val="40"/>
        </w:numPr>
      </w:pPr>
      <w:r w:rsidRPr="0078220A">
        <w:t>In this paper, we assume either of the involved nodes may initiate SCG (de)activation.</w:t>
      </w:r>
    </w:p>
    <w:p w14:paraId="08A5C9E7" w14:textId="3AF3535C" w:rsidR="0078220A" w:rsidRPr="0078220A" w:rsidRDefault="0078220A" w:rsidP="0078220A">
      <w:pPr>
        <w:pStyle w:val="ListParagraph"/>
        <w:numPr>
          <w:ilvl w:val="0"/>
          <w:numId w:val="40"/>
        </w:numPr>
      </w:pPr>
      <w:r w:rsidRPr="0078220A">
        <w:t>The MN does not need to reject an activation request received from the SN; the SN shall have the option to reject activation request from the MN.</w:t>
      </w:r>
    </w:p>
    <w:p w14:paraId="5B3F5D49" w14:textId="23D1BB21" w:rsidR="0078220A" w:rsidRPr="0078220A" w:rsidRDefault="0078220A" w:rsidP="0078220A">
      <w:pPr>
        <w:pStyle w:val="ListParagraph"/>
        <w:numPr>
          <w:ilvl w:val="0"/>
          <w:numId w:val="40"/>
        </w:numPr>
      </w:pPr>
      <w:r w:rsidRPr="0078220A">
        <w:t>It shall be possible to reject deactivation of the SCG, if the node initiating the deactivation serves as the assisting node.</w:t>
      </w:r>
    </w:p>
    <w:p w14:paraId="28EAA678" w14:textId="51C2E1FD" w:rsidR="0078220A" w:rsidRPr="0078220A" w:rsidRDefault="0078220A" w:rsidP="0078220A">
      <w:pPr>
        <w:pStyle w:val="ListParagraph"/>
        <w:numPr>
          <w:ilvl w:val="0"/>
          <w:numId w:val="40"/>
        </w:numPr>
      </w:pPr>
      <w:r w:rsidRPr="0078220A">
        <w:t>S</w:t>
      </w:r>
      <w:r w:rsidRPr="0078220A">
        <w:t>CG activation at the addition is the legacy behaviour of the Addition. SCG deactivation at the addition has already agreed.</w:t>
      </w:r>
    </w:p>
    <w:p w14:paraId="4D01011D" w14:textId="3C648B8A" w:rsidR="0078220A" w:rsidRPr="0078220A" w:rsidRDefault="0078220A" w:rsidP="0078220A">
      <w:pPr>
        <w:pStyle w:val="ListParagraph"/>
        <w:numPr>
          <w:ilvl w:val="0"/>
          <w:numId w:val="40"/>
        </w:numPr>
      </w:pPr>
      <w:r w:rsidRPr="0078220A">
        <w:t>Possible rejection of the deactivation at the addition should be independent from the admission of the addition itself.</w:t>
      </w:r>
    </w:p>
    <w:p w14:paraId="2C10ADBC" w14:textId="22FE4D79" w:rsidR="00A15228" w:rsidRDefault="00E07BC2" w:rsidP="006A43F7">
      <w:pPr>
        <w:jc w:val="both"/>
        <w:rPr>
          <w:bCs/>
        </w:rPr>
      </w:pPr>
      <w:r>
        <w:rPr>
          <w:bCs/>
        </w:rPr>
        <w:t xml:space="preserve">Based on those, we propose following </w:t>
      </w:r>
      <w:r w:rsidR="00C635AD">
        <w:rPr>
          <w:bCs/>
        </w:rPr>
        <w:t xml:space="preserve">changes in the </w:t>
      </w:r>
      <w:proofErr w:type="spellStart"/>
      <w:r w:rsidR="00C635AD">
        <w:rPr>
          <w:bCs/>
        </w:rPr>
        <w:t>XnAP</w:t>
      </w:r>
      <w:proofErr w:type="spellEnd"/>
      <w:r w:rsidR="00C635AD">
        <w:rPr>
          <w:bCs/>
        </w:rPr>
        <w:t xml:space="preserve"> signalling</w:t>
      </w:r>
      <w:r>
        <w:rPr>
          <w:bCs/>
        </w:rPr>
        <w:t>:</w:t>
      </w:r>
    </w:p>
    <w:p w14:paraId="6BAE18FD" w14:textId="2EFEBDE5" w:rsidR="00E07BC2" w:rsidRPr="00C635AD" w:rsidRDefault="00C635AD" w:rsidP="00C635AD">
      <w:pPr>
        <w:pStyle w:val="ListParagraph"/>
        <w:numPr>
          <w:ilvl w:val="0"/>
          <w:numId w:val="39"/>
        </w:numPr>
        <w:jc w:val="both"/>
        <w:rPr>
          <w:bCs/>
        </w:rPr>
      </w:pPr>
      <w:r w:rsidRPr="00C635AD">
        <w:rPr>
          <w:bCs/>
        </w:rPr>
        <w:t>Addition Request: added optional flag indicating SCG is to be added deactivated;</w:t>
      </w:r>
    </w:p>
    <w:p w14:paraId="7475B4E8" w14:textId="7DC7D560" w:rsidR="00C635AD" w:rsidRPr="00C635AD" w:rsidRDefault="00C635AD" w:rsidP="00C635AD">
      <w:pPr>
        <w:pStyle w:val="ListParagraph"/>
        <w:numPr>
          <w:ilvl w:val="0"/>
          <w:numId w:val="39"/>
        </w:numPr>
        <w:jc w:val="both"/>
        <w:rPr>
          <w:bCs/>
        </w:rPr>
      </w:pPr>
      <w:r w:rsidRPr="00C635AD">
        <w:rPr>
          <w:bCs/>
        </w:rPr>
        <w:t>Addition Request Acknowledge: added optional flag indicating SCG is deactivated;</w:t>
      </w:r>
    </w:p>
    <w:p w14:paraId="7651C63F" w14:textId="16DAABE0" w:rsidR="00C635AD" w:rsidRPr="00C635AD" w:rsidRDefault="00C635AD" w:rsidP="00C635AD">
      <w:pPr>
        <w:pStyle w:val="ListParagraph"/>
        <w:numPr>
          <w:ilvl w:val="0"/>
          <w:numId w:val="39"/>
        </w:numPr>
        <w:jc w:val="both"/>
        <w:rPr>
          <w:bCs/>
        </w:rPr>
      </w:pPr>
      <w:r w:rsidRPr="00C635AD">
        <w:rPr>
          <w:bCs/>
        </w:rPr>
        <w:t>Modification Request: added optional flag indicating SCG is to be activated or deactivated;</w:t>
      </w:r>
    </w:p>
    <w:p w14:paraId="26B435D4" w14:textId="2453BB2E" w:rsidR="00C635AD" w:rsidRDefault="00C635AD" w:rsidP="00C635AD">
      <w:pPr>
        <w:pStyle w:val="ListParagraph"/>
        <w:numPr>
          <w:ilvl w:val="0"/>
          <w:numId w:val="39"/>
        </w:numPr>
        <w:jc w:val="both"/>
        <w:rPr>
          <w:bCs/>
        </w:rPr>
      </w:pPr>
      <w:r w:rsidRPr="00C635AD">
        <w:rPr>
          <w:bCs/>
        </w:rPr>
        <w:t xml:space="preserve">Modification Required: added optional flag indicating SCG is </w:t>
      </w:r>
      <w:r w:rsidR="007B6D34">
        <w:rPr>
          <w:bCs/>
        </w:rPr>
        <w:t xml:space="preserve">activated or </w:t>
      </w:r>
      <w:r w:rsidRPr="00C635AD">
        <w:rPr>
          <w:bCs/>
        </w:rPr>
        <w:t>deactivated;</w:t>
      </w:r>
    </w:p>
    <w:p w14:paraId="3B40AC94" w14:textId="2E115466" w:rsidR="009C038F" w:rsidRPr="00C635AD" w:rsidRDefault="00A11940" w:rsidP="00C635AD">
      <w:pPr>
        <w:pStyle w:val="ListParagraph"/>
        <w:numPr>
          <w:ilvl w:val="0"/>
          <w:numId w:val="39"/>
        </w:numPr>
        <w:jc w:val="both"/>
        <w:rPr>
          <w:bCs/>
        </w:rPr>
      </w:pPr>
      <w:r>
        <w:rPr>
          <w:bCs/>
        </w:rPr>
        <w:t>Additional cause value for the change rejection</w:t>
      </w:r>
    </w:p>
    <w:p w14:paraId="39C9EE32" w14:textId="01B2AE54" w:rsidR="00C635AD" w:rsidRPr="00996E13" w:rsidRDefault="0078220A" w:rsidP="006A43F7">
      <w:pPr>
        <w:jc w:val="both"/>
        <w:rPr>
          <w:bCs/>
        </w:rPr>
      </w:pPr>
      <w:r>
        <w:rPr>
          <w:bCs/>
        </w:rPr>
        <w:t>We propose two CRs (to be endorsed as BLs or TPs) in [1] and [2].</w:t>
      </w:r>
    </w:p>
    <w:p w14:paraId="483F8717" w14:textId="77777777" w:rsidR="00403B9B" w:rsidRPr="00996E13" w:rsidRDefault="00403B9B" w:rsidP="00403B9B">
      <w:pPr>
        <w:pStyle w:val="Heading1"/>
      </w:pPr>
      <w:r w:rsidRPr="00996E13">
        <w:t>References</w:t>
      </w:r>
    </w:p>
    <w:p w14:paraId="2AF1DCFA" w14:textId="52DE84E5" w:rsidR="006A43F7" w:rsidRDefault="0078220A" w:rsidP="008A3464">
      <w:pPr>
        <w:numPr>
          <w:ilvl w:val="0"/>
          <w:numId w:val="4"/>
        </w:numPr>
        <w:overflowPunct w:val="0"/>
        <w:autoSpaceDE w:val="0"/>
        <w:autoSpaceDN w:val="0"/>
        <w:adjustRightInd w:val="0"/>
        <w:textAlignment w:val="baseline"/>
      </w:pPr>
      <w:r>
        <w:t>R3-210086, RAN3 #111</w:t>
      </w:r>
    </w:p>
    <w:p w14:paraId="3D9D1823" w14:textId="1B0A5452" w:rsidR="0078220A" w:rsidRPr="00996E13" w:rsidRDefault="0078220A" w:rsidP="008A3464">
      <w:pPr>
        <w:numPr>
          <w:ilvl w:val="0"/>
          <w:numId w:val="4"/>
        </w:numPr>
        <w:overflowPunct w:val="0"/>
        <w:autoSpaceDE w:val="0"/>
        <w:autoSpaceDN w:val="0"/>
        <w:adjustRightInd w:val="0"/>
        <w:textAlignment w:val="baseline"/>
      </w:pPr>
      <w:r>
        <w:t>R3-210087, RAN3 #111</w:t>
      </w:r>
    </w:p>
    <w:p w14:paraId="01293442" w14:textId="77777777" w:rsidR="0022219E" w:rsidRPr="00996E13" w:rsidRDefault="0022219E" w:rsidP="0022219E">
      <w:pPr>
        <w:overflowPunct w:val="0"/>
        <w:autoSpaceDE w:val="0"/>
        <w:autoSpaceDN w:val="0"/>
        <w:adjustRightInd w:val="0"/>
        <w:textAlignment w:val="baseline"/>
      </w:pPr>
    </w:p>
    <w:sectPr w:rsidR="0022219E" w:rsidRPr="00996E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31272" w14:textId="77777777" w:rsidR="00141187" w:rsidRDefault="00141187">
      <w:r>
        <w:separator/>
      </w:r>
    </w:p>
  </w:endnote>
  <w:endnote w:type="continuationSeparator" w:id="0">
    <w:p w14:paraId="07A590C3" w14:textId="77777777" w:rsidR="00141187" w:rsidRDefault="00141187">
      <w:r>
        <w:continuationSeparator/>
      </w:r>
    </w:p>
  </w:endnote>
  <w:endnote w:type="continuationNotice" w:id="1">
    <w:p w14:paraId="5D53B07C" w14:textId="77777777" w:rsidR="00141187" w:rsidRDefault="00141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8397D" w14:textId="77777777" w:rsidR="00141187" w:rsidRDefault="00141187">
      <w:r>
        <w:separator/>
      </w:r>
    </w:p>
  </w:footnote>
  <w:footnote w:type="continuationSeparator" w:id="0">
    <w:p w14:paraId="01290247" w14:textId="77777777" w:rsidR="00141187" w:rsidRDefault="00141187">
      <w:r>
        <w:continuationSeparator/>
      </w:r>
    </w:p>
  </w:footnote>
  <w:footnote w:type="continuationNotice" w:id="1">
    <w:p w14:paraId="16F49812" w14:textId="77777777" w:rsidR="00141187" w:rsidRDefault="001411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2C37CB0"/>
    <w:multiLevelType w:val="hybridMultilevel"/>
    <w:tmpl w:val="8580D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5E021E4"/>
    <w:multiLevelType w:val="hybridMultilevel"/>
    <w:tmpl w:val="C54A2D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9A6AE3"/>
    <w:multiLevelType w:val="hybridMultilevel"/>
    <w:tmpl w:val="A5263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5"/>
  </w:num>
  <w:num w:numId="4">
    <w:abstractNumId w:val="9"/>
  </w:num>
  <w:num w:numId="5">
    <w:abstractNumId w:val="10"/>
  </w:num>
  <w:num w:numId="6">
    <w:abstractNumId w:val="39"/>
  </w:num>
  <w:num w:numId="7">
    <w:abstractNumId w:val="25"/>
  </w:num>
  <w:num w:numId="8">
    <w:abstractNumId w:val="16"/>
  </w:num>
  <w:num w:numId="9">
    <w:abstractNumId w:val="38"/>
  </w:num>
  <w:num w:numId="10">
    <w:abstractNumId w:val="24"/>
  </w:num>
  <w:num w:numId="11">
    <w:abstractNumId w:val="14"/>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6"/>
  </w:num>
  <w:num w:numId="29">
    <w:abstractNumId w:val="37"/>
  </w:num>
  <w:num w:numId="30">
    <w:abstractNumId w:val="26"/>
  </w:num>
  <w:num w:numId="31">
    <w:abstractNumId w:val="23"/>
  </w:num>
  <w:num w:numId="32">
    <w:abstractNumId w:val="18"/>
  </w:num>
  <w:num w:numId="33">
    <w:abstractNumId w:val="28"/>
  </w:num>
  <w:num w:numId="34">
    <w:abstractNumId w:val="13"/>
  </w:num>
  <w:num w:numId="35">
    <w:abstractNumId w:val="11"/>
  </w:num>
  <w:num w:numId="36">
    <w:abstractNumId w:val="35"/>
  </w:num>
  <w:num w:numId="37">
    <w:abstractNumId w:val="22"/>
  </w:num>
  <w:num w:numId="38">
    <w:abstractNumId w:val="34"/>
  </w:num>
  <w:num w:numId="39">
    <w:abstractNumId w:val="12"/>
  </w:num>
  <w:num w:numId="40">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77DB6"/>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36C"/>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187"/>
    <w:rsid w:val="00141F05"/>
    <w:rsid w:val="001450A6"/>
    <w:rsid w:val="0014626D"/>
    <w:rsid w:val="0014785F"/>
    <w:rsid w:val="001509F1"/>
    <w:rsid w:val="00151A61"/>
    <w:rsid w:val="00153DC6"/>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45C7"/>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6CDD"/>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2CA6"/>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C776C"/>
    <w:rsid w:val="002D26EE"/>
    <w:rsid w:val="002D559B"/>
    <w:rsid w:val="002E0428"/>
    <w:rsid w:val="002E0503"/>
    <w:rsid w:val="002E0B99"/>
    <w:rsid w:val="002E124D"/>
    <w:rsid w:val="002E3237"/>
    <w:rsid w:val="002E397C"/>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19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4CF0"/>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4AF"/>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221"/>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4FC9"/>
    <w:rsid w:val="00636178"/>
    <w:rsid w:val="00636E70"/>
    <w:rsid w:val="00636EE6"/>
    <w:rsid w:val="006414E1"/>
    <w:rsid w:val="00642ACA"/>
    <w:rsid w:val="0064548A"/>
    <w:rsid w:val="0064557C"/>
    <w:rsid w:val="0064589C"/>
    <w:rsid w:val="00645D99"/>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220A"/>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6D34"/>
    <w:rsid w:val="007B7782"/>
    <w:rsid w:val="007C095F"/>
    <w:rsid w:val="007C5546"/>
    <w:rsid w:val="007C65A5"/>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A6CF4"/>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38FE"/>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6E13"/>
    <w:rsid w:val="00997D92"/>
    <w:rsid w:val="009A3390"/>
    <w:rsid w:val="009A3AC7"/>
    <w:rsid w:val="009A482D"/>
    <w:rsid w:val="009A4FD4"/>
    <w:rsid w:val="009A4FD9"/>
    <w:rsid w:val="009A5190"/>
    <w:rsid w:val="009B28F7"/>
    <w:rsid w:val="009B6C3A"/>
    <w:rsid w:val="009B7671"/>
    <w:rsid w:val="009C01DA"/>
    <w:rsid w:val="009C038F"/>
    <w:rsid w:val="009C2009"/>
    <w:rsid w:val="009C4014"/>
    <w:rsid w:val="009C55D0"/>
    <w:rsid w:val="009C55E8"/>
    <w:rsid w:val="009C5D10"/>
    <w:rsid w:val="009C67DB"/>
    <w:rsid w:val="009C7DAE"/>
    <w:rsid w:val="009D0FF6"/>
    <w:rsid w:val="009D30B7"/>
    <w:rsid w:val="009D73C0"/>
    <w:rsid w:val="009E3E1E"/>
    <w:rsid w:val="009E48B1"/>
    <w:rsid w:val="009E4BC8"/>
    <w:rsid w:val="009F056C"/>
    <w:rsid w:val="009F17BF"/>
    <w:rsid w:val="009F4335"/>
    <w:rsid w:val="009F482E"/>
    <w:rsid w:val="00A00DC2"/>
    <w:rsid w:val="00A01921"/>
    <w:rsid w:val="00A0557F"/>
    <w:rsid w:val="00A05D49"/>
    <w:rsid w:val="00A05DB2"/>
    <w:rsid w:val="00A0682C"/>
    <w:rsid w:val="00A06A5A"/>
    <w:rsid w:val="00A078CD"/>
    <w:rsid w:val="00A10CA5"/>
    <w:rsid w:val="00A10F02"/>
    <w:rsid w:val="00A113D9"/>
    <w:rsid w:val="00A115B3"/>
    <w:rsid w:val="00A11940"/>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3E43"/>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B27DB"/>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3271"/>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35A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7737E"/>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BB0"/>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BC2"/>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4D2F"/>
    <w:rsid w:val="00F076C8"/>
    <w:rsid w:val="00F127B7"/>
    <w:rsid w:val="00F13D6C"/>
    <w:rsid w:val="00F16632"/>
    <w:rsid w:val="00F17F82"/>
    <w:rsid w:val="00F2026E"/>
    <w:rsid w:val="00F20E37"/>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2B57"/>
    <w:rsid w:val="00FA4A45"/>
    <w:rsid w:val="00FA61B4"/>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A2EB14B8-58B2-4F31-AFC4-472111241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3</Pages>
  <Words>840</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for activation and deactivation of SCG resources</dc:title>
  <dc:subject>3GPP RAN3 #111-e</dc:subject>
  <dc:creator>Benoist Sébire</dc:creator>
  <cp:keywords>&lt;keyword[, keyword, ]&gt;</cp:keywords>
  <dc:description/>
  <cp:lastModifiedBy>Nokia</cp:lastModifiedBy>
  <cp:revision>8</cp:revision>
  <cp:lastPrinted>2019-03-27T07:16:00Z</cp:lastPrinted>
  <dcterms:created xsi:type="dcterms:W3CDTF">2021-01-12T16:26:00Z</dcterms:created>
  <dcterms:modified xsi:type="dcterms:W3CDTF">2021-01-14T15:35:00Z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